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参会回执</w:t>
      </w:r>
    </w:p>
    <w:tbl>
      <w:tblPr>
        <w:tblStyle w:val="4"/>
        <w:tblW w:w="951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774"/>
        <w:gridCol w:w="1766"/>
        <w:gridCol w:w="2350"/>
        <w:gridCol w:w="3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6" w:type="dxa"/>
            <w:gridSpan w:val="5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1" w:firstLineChars="100"/>
              <w:jc w:val="center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2026 再生塑料产业高质量发展研讨会参会回执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230" w:type="dxa"/>
            <w:gridSpan w:val="4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rFonts w:hint="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主营业务</w:t>
            </w:r>
          </w:p>
        </w:tc>
        <w:tc>
          <w:tcPr>
            <w:tcW w:w="8230" w:type="dxa"/>
            <w:gridSpan w:val="4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60" w:type="dxa"/>
            <w:gridSpan w:val="2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参展人员姓名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34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rFonts w:hint="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60" w:type="dxa"/>
            <w:gridSpan w:val="2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34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060" w:type="dxa"/>
            <w:gridSpan w:val="2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34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060" w:type="dxa"/>
            <w:gridSpan w:val="2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340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-360" w:leftChars="0" w:right="0" w:rightChars="0" w:firstLine="280" w:firstLineChars="100"/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left"/>
        <w:rPr>
          <w:color w:val="000000"/>
          <w:sz w:val="28"/>
          <w:szCs w:val="28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备注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left"/>
      </w:pPr>
      <w:r>
        <w:rPr>
          <w:color w:val="000000"/>
          <w:sz w:val="28"/>
          <w:szCs w:val="28"/>
        </w:rPr>
        <w:t>请将回执发送至会务组微信或邮箱，报名成功以收到确认为准。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hanging="360"/>
        <w:jc w:val="left"/>
      </w:pPr>
      <w:bookmarkStart w:id="0" w:name="_GoBack"/>
      <w:bookmarkEnd w:id="0"/>
      <w:r>
        <w:rPr>
          <w:color w:val="000000"/>
          <w:sz w:val="28"/>
          <w:szCs w:val="28"/>
        </w:rPr>
        <w:t>会议议程及地点如有调整，将另行通知。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40A8A"/>
    <w:multiLevelType w:val="multilevel"/>
    <w:tmpl w:val="FFE40A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4006B"/>
    <w:rsid w:val="06A4006B"/>
    <w:rsid w:val="67BA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2026-05-27T09:59:00Z</dcterms:created>
  <dc:creator>壁立千仞</dc:creator>
  <cp:lastModifiedBy>slxh</cp:lastModifiedBy>
  <dcterms:modified xsi:type="dcterms:W3CDTF">2026-05-29T03:10:12Z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F7A67677AB4248C59948F4B66686B257</vt:lpwstr>
  </property>
</Properties>
</file>